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0CD" w:rsidRDefault="008950CD" w:rsidP="008950CD">
      <w:pPr>
        <w:pStyle w:val="Heading2"/>
      </w:pPr>
      <w:r>
        <w:t>Inventarea Carti</w:t>
      </w:r>
    </w:p>
    <w:p w:rsidR="008950CD" w:rsidRDefault="008950CD" w:rsidP="008950CD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sz w:val="15"/>
          <w:szCs w:val="15"/>
        </w:rPr>
      </w:pPr>
      <w:r>
        <w:rPr>
          <w:rFonts w:ascii="Arial" w:hAnsi="Arial" w:cs="Arial"/>
          <w:color w:val="222222"/>
          <w:sz w:val="15"/>
          <w:szCs w:val="15"/>
        </w:rPr>
        <w:t>În mijlocul </w:t>
      </w:r>
      <w:hyperlink r:id="rId4" w:tooltip="Secolului XIX — pagină inexistentă" w:history="1">
        <w:r>
          <w:rPr>
            <w:rStyle w:val="Hyperlink"/>
            <w:rFonts w:ascii="Arial" w:hAnsi="Arial" w:cs="Arial"/>
            <w:color w:val="A55858"/>
            <w:sz w:val="15"/>
            <w:szCs w:val="15"/>
          </w:rPr>
          <w:t>secolului XIX</w:t>
        </w:r>
      </w:hyperlink>
      <w:r>
        <w:rPr>
          <w:rFonts w:ascii="Arial" w:hAnsi="Arial" w:cs="Arial"/>
          <w:color w:val="222222"/>
          <w:sz w:val="15"/>
          <w:szCs w:val="15"/>
        </w:rPr>
        <w:t>, hârtia făcută din pulpă (celuloză, lemn) a fost introdusă deoarece era mai ieftină, astfel că s-au putut realiza romane ieftine, manuale școlare și cărți din orice domeniu, ducând la un salt al alfabetizării în națiunile industrializate și a ușurat răspândirea informației în timpul celei de-</w:t>
      </w:r>
      <w:hyperlink r:id="rId5" w:tooltip="A doua revoluție industrială — pagină inexistentă" w:history="1">
        <w:r>
          <w:rPr>
            <w:rStyle w:val="Hyperlink"/>
            <w:rFonts w:ascii="Arial" w:hAnsi="Arial" w:cs="Arial"/>
            <w:color w:val="A55858"/>
            <w:sz w:val="15"/>
            <w:szCs w:val="15"/>
          </w:rPr>
          <w:t>a doua revoluție industrială</w:t>
        </w:r>
      </w:hyperlink>
      <w:r>
        <w:rPr>
          <w:rFonts w:ascii="Arial" w:hAnsi="Arial" w:cs="Arial"/>
          <w:color w:val="222222"/>
          <w:sz w:val="15"/>
          <w:szCs w:val="15"/>
        </w:rPr>
        <w:t>.</w:t>
      </w:r>
    </w:p>
    <w:p w:rsidR="008950CD" w:rsidRDefault="008950CD" w:rsidP="008950CD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sz w:val="15"/>
          <w:szCs w:val="15"/>
        </w:rPr>
      </w:pPr>
      <w:r>
        <w:rPr>
          <w:rFonts w:ascii="Arial" w:hAnsi="Arial" w:cs="Arial"/>
          <w:color w:val="222222"/>
          <w:sz w:val="15"/>
          <w:szCs w:val="15"/>
        </w:rPr>
        <w:t>Totuși această hârtie din pulpă conținea un acid care făcea un fel de </w:t>
      </w:r>
      <w:hyperlink r:id="rId6" w:tooltip="Foc lent — pagină inexistentă" w:history="1">
        <w:r>
          <w:rPr>
            <w:rStyle w:val="Hyperlink"/>
            <w:rFonts w:ascii="Arial" w:hAnsi="Arial" w:cs="Arial"/>
            <w:color w:val="A55858"/>
            <w:sz w:val="15"/>
            <w:szCs w:val="15"/>
          </w:rPr>
          <w:t>foc lent</w:t>
        </w:r>
      </w:hyperlink>
      <w:r>
        <w:rPr>
          <w:rFonts w:ascii="Arial" w:hAnsi="Arial" w:cs="Arial"/>
          <w:color w:val="222222"/>
          <w:sz w:val="15"/>
          <w:szCs w:val="15"/>
        </w:rPr>
        <w:t>, care ducea la distrugerea hârtiei. Tehnici mai vechi foloseau role din </w:t>
      </w:r>
      <w:hyperlink r:id="rId7" w:tooltip="Calcar" w:history="1">
        <w:r>
          <w:rPr>
            <w:rStyle w:val="Hyperlink"/>
            <w:rFonts w:ascii="Arial" w:hAnsi="Arial" w:cs="Arial"/>
            <w:color w:val="0B0080"/>
            <w:sz w:val="15"/>
            <w:szCs w:val="15"/>
          </w:rPr>
          <w:t>calcar</w:t>
        </w:r>
      </w:hyperlink>
      <w:r>
        <w:rPr>
          <w:rFonts w:ascii="Arial" w:hAnsi="Arial" w:cs="Arial"/>
          <w:color w:val="222222"/>
          <w:sz w:val="15"/>
          <w:szCs w:val="15"/>
        </w:rPr>
        <w:t> pentru a neutraliza acidul din pulpă. Bibliotecile de azi folosesc </w:t>
      </w:r>
      <w:hyperlink r:id="rId8" w:tooltip="Deacidifiare în masă — pagină inexistentă" w:history="1">
        <w:r>
          <w:rPr>
            <w:rStyle w:val="Hyperlink"/>
            <w:rFonts w:ascii="Arial" w:hAnsi="Arial" w:cs="Arial"/>
            <w:color w:val="A55858"/>
            <w:sz w:val="15"/>
            <w:szCs w:val="15"/>
          </w:rPr>
          <w:t>deacidifiare în masă</w:t>
        </w:r>
      </w:hyperlink>
      <w:r>
        <w:rPr>
          <w:rFonts w:ascii="Arial" w:hAnsi="Arial" w:cs="Arial"/>
          <w:color w:val="222222"/>
          <w:sz w:val="15"/>
          <w:szCs w:val="15"/>
        </w:rPr>
        <w:t> pentru colecțiile lor mai vechi. Cărțile tipărite între 1850 și 1950 sunt în risc, cele mai noi fiind tipărite pe hârtie fără acid (alcalină).</w:t>
      </w:r>
    </w:p>
    <w:p w:rsidR="008950CD" w:rsidRDefault="008950CD" w:rsidP="008950CD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sz w:val="15"/>
          <w:szCs w:val="15"/>
        </w:rPr>
      </w:pPr>
      <w:r>
        <w:rPr>
          <w:rFonts w:ascii="Arial" w:hAnsi="Arial" w:cs="Arial"/>
          <w:color w:val="222222"/>
          <w:sz w:val="15"/>
          <w:szCs w:val="15"/>
        </w:rPr>
        <w:t>Îngrijirea corespunzătoare a cărților ține cont de posibilitatea schimbărilor chimice asupra coperții și textului. Cel mai bine sunt păstrate în lumină redusă, să nu fie sub acțiunea directă a luminii solare, la temperatură joasă și umiditate moderată. Cărțile, în special cele grele, au nevoie de susținerea volumelor din împrejur pentru a se menține forma. Este de dorit de aceea, cărțile să fie grupate după mărime.</w:t>
      </w:r>
    </w:p>
    <w:p w:rsidR="008950CD" w:rsidRDefault="008950CD" w:rsidP="008950CD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sz w:val="15"/>
          <w:szCs w:val="15"/>
        </w:rPr>
      </w:pPr>
      <w:r>
        <w:rPr>
          <w:rFonts w:ascii="Arial" w:hAnsi="Arial" w:cs="Arial"/>
          <w:color w:val="222222"/>
          <w:sz w:val="15"/>
          <w:szCs w:val="15"/>
        </w:rPr>
        <w:t>A menține o </w:t>
      </w:r>
      <w:hyperlink r:id="rId9" w:tooltip="Bibliotecă" w:history="1">
        <w:r>
          <w:rPr>
            <w:rStyle w:val="Hyperlink"/>
            <w:rFonts w:ascii="Arial" w:hAnsi="Arial" w:cs="Arial"/>
            <w:color w:val="0B0080"/>
            <w:sz w:val="15"/>
            <w:szCs w:val="15"/>
          </w:rPr>
          <w:t>bibliotecă</w:t>
        </w:r>
      </w:hyperlink>
      <w:r>
        <w:rPr>
          <w:rFonts w:ascii="Arial" w:hAnsi="Arial" w:cs="Arial"/>
          <w:color w:val="222222"/>
          <w:sz w:val="15"/>
          <w:szCs w:val="15"/>
        </w:rPr>
        <w:t> era privilegiul prinților, celor avuți, mănăstirilor și altor instituții religioase și universităților. O dată cu apariția  pentru oameni obișnuiți.</w:t>
      </w:r>
    </w:p>
    <w:p w:rsidR="008950CD" w:rsidRDefault="008950CD" w:rsidP="008950CD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sz w:val="15"/>
          <w:szCs w:val="15"/>
        </w:rPr>
      </w:pPr>
      <w:r>
        <w:rPr>
          <w:rFonts w:ascii="Arial" w:hAnsi="Arial" w:cs="Arial"/>
          <w:color w:val="222222"/>
          <w:sz w:val="15"/>
          <w:szCs w:val="15"/>
        </w:rPr>
        <w:t>Doar </w:t>
      </w:r>
      <w:hyperlink r:id="rId10" w:tooltip="Johann Gutenberg" w:history="1">
        <w:r>
          <w:rPr>
            <w:rStyle w:val="Hyperlink"/>
            <w:rFonts w:ascii="Arial" w:hAnsi="Arial" w:cs="Arial"/>
            <w:color w:val="0B0080"/>
            <w:sz w:val="15"/>
            <w:szCs w:val="15"/>
          </w:rPr>
          <w:t>Johann Gutenberg</w:t>
        </w:r>
      </w:hyperlink>
      <w:r>
        <w:rPr>
          <w:rFonts w:ascii="Arial" w:hAnsi="Arial" w:cs="Arial"/>
          <w:color w:val="222222"/>
          <w:sz w:val="15"/>
          <w:szCs w:val="15"/>
        </w:rPr>
        <w:t> a popularizat </w:t>
      </w:r>
      <w:hyperlink r:id="rId11" w:tooltip="Presa de tipărit — pagină inexistentă" w:history="1">
        <w:r>
          <w:rPr>
            <w:rStyle w:val="Hyperlink"/>
            <w:rFonts w:ascii="Arial" w:hAnsi="Arial" w:cs="Arial"/>
            <w:color w:val="A55858"/>
            <w:sz w:val="15"/>
            <w:szCs w:val="15"/>
          </w:rPr>
          <w:t>presa de tipărit</w:t>
        </w:r>
      </w:hyperlink>
      <w:r>
        <w:rPr>
          <w:rFonts w:ascii="Arial" w:hAnsi="Arial" w:cs="Arial"/>
          <w:color w:val="222222"/>
          <w:sz w:val="15"/>
          <w:szCs w:val="15"/>
        </w:rPr>
        <w:t> cu litere mobile din metal în </w:t>
      </w:r>
      <w:hyperlink r:id="rId12" w:tooltip="Secolul XV" w:history="1">
        <w:r>
          <w:rPr>
            <w:rStyle w:val="Hyperlink"/>
            <w:rFonts w:ascii="Arial" w:hAnsi="Arial" w:cs="Arial"/>
            <w:color w:val="0B0080"/>
            <w:sz w:val="15"/>
            <w:szCs w:val="15"/>
          </w:rPr>
          <w:t>secolul XV</w:t>
        </w:r>
      </w:hyperlink>
      <w:r>
        <w:rPr>
          <w:rFonts w:ascii="Arial" w:hAnsi="Arial" w:cs="Arial"/>
          <w:color w:val="222222"/>
          <w:sz w:val="15"/>
          <w:szCs w:val="15"/>
        </w:rPr>
        <w:t>, astfel cărțile devenind mai accesibile. Aceasta însă a deranjat </w:t>
      </w:r>
      <w:hyperlink r:id="rId13" w:tooltip="Status quo" w:history="1">
        <w:r>
          <w:rPr>
            <w:rStyle w:val="Hyperlink"/>
            <w:rFonts w:ascii="Arial" w:hAnsi="Arial" w:cs="Arial"/>
            <w:color w:val="0B0080"/>
            <w:sz w:val="15"/>
            <w:szCs w:val="15"/>
          </w:rPr>
          <w:t>status quo</w:t>
        </w:r>
      </w:hyperlink>
      <w:r>
        <w:rPr>
          <w:rFonts w:ascii="Arial" w:hAnsi="Arial" w:cs="Arial"/>
          <w:color w:val="222222"/>
          <w:sz w:val="15"/>
          <w:szCs w:val="15"/>
        </w:rPr>
        <w:t>-ul, ducând la remarci precum "Tiparnița va permite cărțile să ajungă în mâinile celor care nu au nici o treabă să citească".</w:t>
      </w:r>
    </w:p>
    <w:p w:rsidR="008950CD" w:rsidRDefault="008950CD" w:rsidP="008950CD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sz w:val="15"/>
          <w:szCs w:val="15"/>
        </w:rPr>
      </w:pPr>
      <w:r>
        <w:rPr>
          <w:rFonts w:ascii="Arial" w:hAnsi="Arial" w:cs="Arial"/>
          <w:color w:val="222222"/>
          <w:sz w:val="15"/>
          <w:szCs w:val="15"/>
        </w:rPr>
        <w:t>În secolele următoare s-au îmbunătățit atât presa de tipărit cât și condițiile de </w:t>
      </w:r>
      <w:hyperlink r:id="rId14" w:tooltip="Libertate a presei — pagină inexistentă" w:history="1">
        <w:r>
          <w:rPr>
            <w:rStyle w:val="Hyperlink"/>
            <w:rFonts w:ascii="Arial" w:hAnsi="Arial" w:cs="Arial"/>
            <w:color w:val="A55858"/>
            <w:sz w:val="15"/>
            <w:szCs w:val="15"/>
          </w:rPr>
          <w:t>libertate a presei</w:t>
        </w:r>
      </w:hyperlink>
      <w:r>
        <w:rPr>
          <w:rFonts w:ascii="Arial" w:hAnsi="Arial" w:cs="Arial"/>
          <w:color w:val="222222"/>
          <w:sz w:val="15"/>
          <w:szCs w:val="15"/>
        </w:rPr>
        <w:t> prin relaxări treptate a legilor restrictive. Vezi: </w:t>
      </w:r>
      <w:hyperlink r:id="rId15" w:tooltip="Proprietate intelectuală" w:history="1">
        <w:r>
          <w:rPr>
            <w:rStyle w:val="Hyperlink"/>
            <w:rFonts w:ascii="Arial" w:hAnsi="Arial" w:cs="Arial"/>
            <w:color w:val="0B0080"/>
            <w:sz w:val="15"/>
            <w:szCs w:val="15"/>
          </w:rPr>
          <w:t>proprietate intelectuală</w:t>
        </w:r>
      </w:hyperlink>
      <w:r>
        <w:rPr>
          <w:rFonts w:ascii="Arial" w:hAnsi="Arial" w:cs="Arial"/>
          <w:color w:val="222222"/>
          <w:sz w:val="15"/>
          <w:szCs w:val="15"/>
        </w:rPr>
        <w:t>, </w:t>
      </w:r>
      <w:hyperlink r:id="rId16" w:tooltip="Domeniu public" w:history="1">
        <w:r>
          <w:rPr>
            <w:rStyle w:val="Hyperlink"/>
            <w:rFonts w:ascii="Arial" w:hAnsi="Arial" w:cs="Arial"/>
            <w:color w:val="0B0080"/>
            <w:sz w:val="15"/>
            <w:szCs w:val="15"/>
          </w:rPr>
          <w:t>domeniu public</w:t>
        </w:r>
      </w:hyperlink>
      <w:r>
        <w:rPr>
          <w:rFonts w:ascii="Arial" w:hAnsi="Arial" w:cs="Arial"/>
          <w:color w:val="222222"/>
          <w:sz w:val="15"/>
          <w:szCs w:val="15"/>
        </w:rPr>
        <w:t>, </w:t>
      </w:r>
      <w:hyperlink r:id="rId17" w:tooltip="Drept de autor" w:history="1">
        <w:r>
          <w:rPr>
            <w:rStyle w:val="Hyperlink"/>
            <w:rFonts w:ascii="Arial" w:hAnsi="Arial" w:cs="Arial"/>
            <w:color w:val="0B0080"/>
            <w:sz w:val="15"/>
            <w:szCs w:val="15"/>
          </w:rPr>
          <w:t>drept de autor</w:t>
        </w:r>
      </w:hyperlink>
      <w:r>
        <w:rPr>
          <w:rFonts w:ascii="Arial" w:hAnsi="Arial" w:cs="Arial"/>
          <w:color w:val="222222"/>
          <w:sz w:val="15"/>
          <w:szCs w:val="15"/>
        </w:rPr>
        <w:t>.</w:t>
      </w:r>
    </w:p>
    <w:p w:rsidR="008950CD" w:rsidRDefault="008950CD" w:rsidP="008950CD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sz w:val="15"/>
          <w:szCs w:val="15"/>
        </w:rPr>
      </w:pPr>
      <w:r>
        <w:rPr>
          <w:rFonts w:ascii="Arial" w:hAnsi="Arial" w:cs="Arial"/>
          <w:color w:val="222222"/>
          <w:sz w:val="15"/>
          <w:szCs w:val="15"/>
        </w:rPr>
        <w:t>În mijlocul </w:t>
      </w:r>
      <w:hyperlink r:id="rId18" w:tooltip="Secolului XIX — pagină inexistentă" w:history="1">
        <w:r>
          <w:rPr>
            <w:rStyle w:val="Hyperlink"/>
            <w:rFonts w:ascii="Arial" w:hAnsi="Arial" w:cs="Arial"/>
            <w:color w:val="A55858"/>
            <w:sz w:val="15"/>
            <w:szCs w:val="15"/>
          </w:rPr>
          <w:t>secolului XIX</w:t>
        </w:r>
      </w:hyperlink>
      <w:r>
        <w:rPr>
          <w:rFonts w:ascii="Arial" w:hAnsi="Arial" w:cs="Arial"/>
          <w:color w:val="222222"/>
          <w:sz w:val="15"/>
          <w:szCs w:val="15"/>
        </w:rPr>
        <w:t>, hârtia făcută din pulpă (celuloză, lemn) a fost introdusă deoarece era mai ieftină, astfel că s-au putut realiza romane ieftine, manuale școlare și cărți din orice domeniu, ducând la un salt al alfabetizării în națiunile industrializate și a ușurat răspândirea informației în timpul celei de-</w:t>
      </w:r>
      <w:hyperlink r:id="rId19" w:tooltip="A doua revoluție industrială — pagină inexistentă" w:history="1">
        <w:r>
          <w:rPr>
            <w:rStyle w:val="Hyperlink"/>
            <w:rFonts w:ascii="Arial" w:hAnsi="Arial" w:cs="Arial"/>
            <w:color w:val="A55858"/>
            <w:sz w:val="15"/>
            <w:szCs w:val="15"/>
          </w:rPr>
          <w:t>a doua revoluție industrială</w:t>
        </w:r>
      </w:hyperlink>
      <w:r>
        <w:rPr>
          <w:rFonts w:ascii="Arial" w:hAnsi="Arial" w:cs="Arial"/>
          <w:color w:val="222222"/>
          <w:sz w:val="15"/>
          <w:szCs w:val="15"/>
        </w:rPr>
        <w:t>.</w:t>
      </w:r>
    </w:p>
    <w:p w:rsidR="008950CD" w:rsidRDefault="008950CD" w:rsidP="008950CD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sz w:val="15"/>
          <w:szCs w:val="15"/>
        </w:rPr>
      </w:pPr>
      <w:r>
        <w:rPr>
          <w:rFonts w:ascii="Arial" w:hAnsi="Arial" w:cs="Arial"/>
          <w:color w:val="222222"/>
          <w:sz w:val="15"/>
          <w:szCs w:val="15"/>
        </w:rPr>
        <w:t>Totuși această hârtie din pulpă conținea un acid care făcea un fel de </w:t>
      </w:r>
      <w:hyperlink r:id="rId20" w:tooltip="Foc lent — pagină inexistentă" w:history="1">
        <w:r>
          <w:rPr>
            <w:rStyle w:val="Hyperlink"/>
            <w:rFonts w:ascii="Arial" w:hAnsi="Arial" w:cs="Arial"/>
            <w:color w:val="A55858"/>
            <w:sz w:val="15"/>
            <w:szCs w:val="15"/>
          </w:rPr>
          <w:t>foc lent</w:t>
        </w:r>
      </w:hyperlink>
      <w:r>
        <w:rPr>
          <w:rFonts w:ascii="Arial" w:hAnsi="Arial" w:cs="Arial"/>
          <w:color w:val="222222"/>
          <w:sz w:val="15"/>
          <w:szCs w:val="15"/>
        </w:rPr>
        <w:t>, care ducea la distrugerea hârtiei. Tehnici mai vechi foloseau role din </w:t>
      </w:r>
      <w:hyperlink r:id="rId21" w:tooltip="Calcar" w:history="1">
        <w:r>
          <w:rPr>
            <w:rStyle w:val="Hyperlink"/>
            <w:rFonts w:ascii="Arial" w:hAnsi="Arial" w:cs="Arial"/>
            <w:color w:val="0B0080"/>
            <w:sz w:val="15"/>
            <w:szCs w:val="15"/>
          </w:rPr>
          <w:t>calcar</w:t>
        </w:r>
      </w:hyperlink>
      <w:r>
        <w:rPr>
          <w:rFonts w:ascii="Arial" w:hAnsi="Arial" w:cs="Arial"/>
          <w:color w:val="222222"/>
          <w:sz w:val="15"/>
          <w:szCs w:val="15"/>
        </w:rPr>
        <w:t> pentru a neutraliza acidul din pulpă. Bibliotecile de azi folosesc </w:t>
      </w:r>
      <w:hyperlink r:id="rId22" w:tooltip="Deacidifiare în masă — pagină inexistentă" w:history="1">
        <w:r>
          <w:rPr>
            <w:rStyle w:val="Hyperlink"/>
            <w:rFonts w:ascii="Arial" w:hAnsi="Arial" w:cs="Arial"/>
            <w:color w:val="A55858"/>
            <w:sz w:val="15"/>
            <w:szCs w:val="15"/>
          </w:rPr>
          <w:t>deacidifiare în masă</w:t>
        </w:r>
      </w:hyperlink>
      <w:r>
        <w:rPr>
          <w:rFonts w:ascii="Arial" w:hAnsi="Arial" w:cs="Arial"/>
          <w:color w:val="222222"/>
          <w:sz w:val="15"/>
          <w:szCs w:val="15"/>
        </w:rPr>
        <w:t> pentru colecțiile lor mai vechi. Cărțile tipărite între 1850 și 1950 sunt în risc, cele mai noi fiind tipărite pe hârtie fără acid (alcalină).</w:t>
      </w:r>
    </w:p>
    <w:p w:rsidR="008950CD" w:rsidRDefault="008950CD" w:rsidP="008950CD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sz w:val="15"/>
          <w:szCs w:val="15"/>
        </w:rPr>
      </w:pPr>
      <w:r>
        <w:rPr>
          <w:rFonts w:ascii="Arial" w:hAnsi="Arial" w:cs="Arial"/>
          <w:color w:val="222222"/>
          <w:sz w:val="15"/>
          <w:szCs w:val="15"/>
        </w:rPr>
        <w:t>Îngrijirea corespunzătoare a cărților ține cont de posibilitatea schimbărilor chimice asupra coperții și textului. Cel mai bine sunt păstrate în lumină redusă, să nu fie sub acțiunea directă a luminii solare, la temperatură joasă și umiditate moderată. Cărțile, în special cele grele, au nevoie de susținerea volumelor din împrejur pentru a se menține forma. Este de dorit de aceea, cărțile să fie grupate după mărime.</w:t>
      </w:r>
    </w:p>
    <w:p w:rsidR="008950CD" w:rsidRDefault="008950CD" w:rsidP="008950CD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sz w:val="15"/>
          <w:szCs w:val="15"/>
        </w:rPr>
      </w:pPr>
      <w:r>
        <w:rPr>
          <w:rFonts w:ascii="Arial" w:hAnsi="Arial" w:cs="Arial"/>
          <w:color w:val="222222"/>
          <w:sz w:val="15"/>
          <w:szCs w:val="15"/>
        </w:rPr>
        <w:t>A menține o </w:t>
      </w:r>
      <w:hyperlink r:id="rId23" w:tooltip="Bibliotecă" w:history="1">
        <w:r>
          <w:rPr>
            <w:rStyle w:val="Hyperlink"/>
            <w:rFonts w:ascii="Arial" w:hAnsi="Arial" w:cs="Arial"/>
            <w:color w:val="0B0080"/>
            <w:sz w:val="15"/>
            <w:szCs w:val="15"/>
          </w:rPr>
          <w:t>bibliotecă</w:t>
        </w:r>
      </w:hyperlink>
      <w:r>
        <w:rPr>
          <w:rFonts w:ascii="Arial" w:hAnsi="Arial" w:cs="Arial"/>
          <w:color w:val="222222"/>
          <w:sz w:val="15"/>
          <w:szCs w:val="15"/>
        </w:rPr>
        <w:t> era privilegiul prinților, celor avuți, mănăstirilor și altor instituții religioase și universităților. O dată cu apariția cărților cu coperți de hârtie ieftine de la începutul </w:t>
      </w:r>
      <w:hyperlink r:id="rId24" w:tooltip="Secolul XX" w:history="1">
        <w:r>
          <w:rPr>
            <w:rStyle w:val="Hyperlink"/>
            <w:rFonts w:ascii="Arial" w:hAnsi="Arial" w:cs="Arial"/>
            <w:color w:val="0B0080"/>
            <w:sz w:val="15"/>
            <w:szCs w:val="15"/>
          </w:rPr>
          <w:t>secolului XX</w:t>
        </w:r>
      </w:hyperlink>
      <w:r>
        <w:rPr>
          <w:rFonts w:ascii="Arial" w:hAnsi="Arial" w:cs="Arial"/>
          <w:color w:val="222222"/>
          <w:sz w:val="15"/>
          <w:szCs w:val="15"/>
        </w:rPr>
        <w:t> s-a ajuns la o explozie a publicațiilor populare, devenind mai accesibile pentru oameni obișnuiți.</w:t>
      </w:r>
    </w:p>
    <w:p w:rsidR="008950CD" w:rsidRDefault="008950CD" w:rsidP="008950CD"/>
    <w:p w:rsidR="008950CD" w:rsidRDefault="008950CD" w:rsidP="008950CD"/>
    <w:p w:rsidR="008950CD" w:rsidRDefault="008950CD" w:rsidP="008950CD">
      <w:pPr>
        <w:pStyle w:val="Heading2"/>
      </w:pPr>
    </w:p>
    <w:sectPr w:rsidR="008950CD" w:rsidSect="00526B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0D727E"/>
    <w:rsid w:val="000D727E"/>
    <w:rsid w:val="0026484B"/>
    <w:rsid w:val="002D38F0"/>
    <w:rsid w:val="00526B49"/>
    <w:rsid w:val="008950CD"/>
    <w:rsid w:val="00C31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B49"/>
  </w:style>
  <w:style w:type="paragraph" w:styleId="Heading2">
    <w:name w:val="heading 2"/>
    <w:basedOn w:val="Normal"/>
    <w:link w:val="Heading2Char"/>
    <w:uiPriority w:val="9"/>
    <w:qFormat/>
    <w:rsid w:val="000D72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D727E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mw-headline">
    <w:name w:val="mw-headline"/>
    <w:basedOn w:val="DefaultParagraphFont"/>
    <w:rsid w:val="000D727E"/>
  </w:style>
  <w:style w:type="character" w:customStyle="1" w:styleId="mw-editsection">
    <w:name w:val="mw-editsection"/>
    <w:basedOn w:val="DefaultParagraphFont"/>
    <w:rsid w:val="000D727E"/>
  </w:style>
  <w:style w:type="character" w:customStyle="1" w:styleId="mw-editsection-bracket">
    <w:name w:val="mw-editsection-bracket"/>
    <w:basedOn w:val="DefaultParagraphFont"/>
    <w:rsid w:val="000D727E"/>
  </w:style>
  <w:style w:type="character" w:styleId="Hyperlink">
    <w:name w:val="Hyperlink"/>
    <w:basedOn w:val="DefaultParagraphFont"/>
    <w:uiPriority w:val="99"/>
    <w:semiHidden/>
    <w:unhideWhenUsed/>
    <w:rsid w:val="000D727E"/>
    <w:rPr>
      <w:color w:val="0000FF"/>
      <w:u w:val="single"/>
    </w:rPr>
  </w:style>
  <w:style w:type="character" w:customStyle="1" w:styleId="mw-editsection-divider">
    <w:name w:val="mw-editsection-divider"/>
    <w:basedOn w:val="DefaultParagraphFont"/>
    <w:rsid w:val="000D727E"/>
  </w:style>
  <w:style w:type="paragraph" w:styleId="NormalWeb">
    <w:name w:val="Normal (Web)"/>
    <w:basedOn w:val="Normal"/>
    <w:uiPriority w:val="99"/>
    <w:unhideWhenUsed/>
    <w:rsid w:val="000D7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8950C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.wikipedia.org/w/index.php?title=Deacidifiare_%C3%AEn_mas%C4%83&amp;action=edit&amp;redlink=1" TargetMode="External"/><Relationship Id="rId13" Type="http://schemas.openxmlformats.org/officeDocument/2006/relationships/hyperlink" Target="https://ro.wikipedia.org/wiki/Status_quo" TargetMode="External"/><Relationship Id="rId18" Type="http://schemas.openxmlformats.org/officeDocument/2006/relationships/hyperlink" Target="https://ro.wikipedia.org/w/index.php?title=Secolului_XIX&amp;action=edit&amp;redlink=1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ro.wikipedia.org/wiki/Calcar" TargetMode="External"/><Relationship Id="rId7" Type="http://schemas.openxmlformats.org/officeDocument/2006/relationships/hyperlink" Target="https://ro.wikipedia.org/wiki/Calcar" TargetMode="External"/><Relationship Id="rId12" Type="http://schemas.openxmlformats.org/officeDocument/2006/relationships/hyperlink" Target="https://ro.wikipedia.org/wiki/Secolul_XV" TargetMode="External"/><Relationship Id="rId17" Type="http://schemas.openxmlformats.org/officeDocument/2006/relationships/hyperlink" Target="https://ro.wikipedia.org/wiki/Drept_de_autor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ro.wikipedia.org/wiki/Domeniu_public" TargetMode="External"/><Relationship Id="rId20" Type="http://schemas.openxmlformats.org/officeDocument/2006/relationships/hyperlink" Target="https://ro.wikipedia.org/w/index.php?title=Foc_lent&amp;action=edit&amp;redlink=1" TargetMode="External"/><Relationship Id="rId1" Type="http://schemas.openxmlformats.org/officeDocument/2006/relationships/styles" Target="styles.xml"/><Relationship Id="rId6" Type="http://schemas.openxmlformats.org/officeDocument/2006/relationships/hyperlink" Target="https://ro.wikipedia.org/w/index.php?title=Foc_lent&amp;action=edit&amp;redlink=1" TargetMode="External"/><Relationship Id="rId11" Type="http://schemas.openxmlformats.org/officeDocument/2006/relationships/hyperlink" Target="https://ro.wikipedia.org/w/index.php?title=Presa_de_tip%C4%83rit&amp;action=edit&amp;redlink=1" TargetMode="External"/><Relationship Id="rId24" Type="http://schemas.openxmlformats.org/officeDocument/2006/relationships/hyperlink" Target="https://ro.wikipedia.org/wiki/Secolul_XX" TargetMode="External"/><Relationship Id="rId5" Type="http://schemas.openxmlformats.org/officeDocument/2006/relationships/hyperlink" Target="https://ro.wikipedia.org/w/index.php?title=A_doua_revolu%C8%9Bie_industrial%C4%83&amp;action=edit&amp;redlink=1" TargetMode="External"/><Relationship Id="rId15" Type="http://schemas.openxmlformats.org/officeDocument/2006/relationships/hyperlink" Target="https://ro.wikipedia.org/wiki/Proprietate_intelectual%C4%83" TargetMode="External"/><Relationship Id="rId23" Type="http://schemas.openxmlformats.org/officeDocument/2006/relationships/hyperlink" Target="https://ro.wikipedia.org/wiki/Bibliotec%C4%83" TargetMode="External"/><Relationship Id="rId10" Type="http://schemas.openxmlformats.org/officeDocument/2006/relationships/hyperlink" Target="https://ro.wikipedia.org/wiki/Johann_Gutenberg" TargetMode="External"/><Relationship Id="rId19" Type="http://schemas.openxmlformats.org/officeDocument/2006/relationships/hyperlink" Target="https://ro.wikipedia.org/w/index.php?title=A_doua_revolu%C8%9Bie_industrial%C4%83&amp;action=edit&amp;redlink=1" TargetMode="External"/><Relationship Id="rId4" Type="http://schemas.openxmlformats.org/officeDocument/2006/relationships/hyperlink" Target="https://ro.wikipedia.org/w/index.php?title=Secolului_XIX&amp;action=edit&amp;redlink=1" TargetMode="External"/><Relationship Id="rId9" Type="http://schemas.openxmlformats.org/officeDocument/2006/relationships/hyperlink" Target="https://ro.wikipedia.org/wiki/Bibliotec%C4%83" TargetMode="External"/><Relationship Id="rId14" Type="http://schemas.openxmlformats.org/officeDocument/2006/relationships/hyperlink" Target="https://ro.wikipedia.org/w/index.php?title=Libertate_a_presei&amp;action=edit&amp;redlink=1" TargetMode="External"/><Relationship Id="rId22" Type="http://schemas.openxmlformats.org/officeDocument/2006/relationships/hyperlink" Target="https://ro.wikipedia.org/w/index.php?title=Deacidifiare_%C3%AEn_mas%C4%83&amp;action=edit&amp;redlink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832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2018-04-24T09:06:00Z</dcterms:created>
  <dcterms:modified xsi:type="dcterms:W3CDTF">2018-04-24T09:39:00Z</dcterms:modified>
</cp:coreProperties>
</file>